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11.690/2026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resolvem celebrar o presente Termo de Contrato, decorrente do</w:t>
      </w:r>
      <w:r>
        <w:rPr>
          <w:rFonts w:hint="default" w:ascii="Arial" w:hAnsi="Arial" w:cs="Arial"/>
          <w:sz w:val="22"/>
          <w:szCs w:val="22"/>
          <w:lang w:val="pt-BR"/>
        </w:rPr>
        <w:t xml:space="preserve">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90.054/2026</w:t>
      </w:r>
      <w:r>
        <w:rPr>
          <w:rFonts w:ascii="Arial" w:hAnsi="Arial" w:cs="Arial"/>
          <w:sz w:val="22"/>
          <w:szCs w:val="22"/>
        </w:rPr>
        <w:t>,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rial" w:hAnsi="Arial" w:cs="Arial"/>
          <w:b w:val="0"/>
          <w:bCs/>
          <w:iCs/>
          <w:lang w:val="pt-BR" w:eastAsia="pt-BR"/>
        </w:rPr>
        <w:t>aquisição de</w:t>
      </w:r>
      <w:r>
        <w:rPr>
          <w:rFonts w:ascii="Arial" w:hAnsi="Arial" w:cs="Arial"/>
          <w:b/>
          <w:bCs w:val="0"/>
          <w:iCs/>
          <w:lang w:val="pt-BR" w:eastAsia="pt-BR"/>
        </w:rPr>
        <w:t xml:space="preserve"> CITRATO DE CAFEÍNA visando suprir as necessidades do Hospital Maternidade Dr. Mário Dutra de Castro,</w:t>
      </w:r>
      <w:r>
        <w:rPr>
          <w:rFonts w:ascii="Arial" w:hAnsi="Arial" w:cs="Arial"/>
          <w:bCs/>
          <w:iCs/>
        </w:rPr>
        <w:t xml:space="preserve">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3.1</w:t>
      </w:r>
      <w:r>
        <w:rPr>
          <w:rFonts w:hint="default" w:ascii="Arial" w:hAnsi="Arial" w:cs="Arial"/>
          <w:bCs/>
          <w:iCs/>
          <w:u w:val="single"/>
          <w:lang w:val="pt-BR"/>
        </w:rPr>
        <w:t xml:space="preserve"> MODELO DE EXECUÇÃO DO OBJETO (arts. 6º, XXIII, alínea “e” e 40, §1º, inciso II, da Lei nº 14.133/2021)</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3.1.1 A entrega dos medicamentos, em quantidade previamente definida, deverá ser realizada de forma única, imediata e integral, em conformidade com as necessidades da Secretaria de Saúde, no prazo máximo de 15 (quinze) dias úteis, contados da assinatura do instrumento contratual ou, quando for o caso, da emissão/retirada da Nota de Empenho.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3.1.2 Em caráter excepcional, poderá ser autorizada a prorrogação do referido prazo, desde que previamente requerida pelo fornecedor e devidamente justificada e fundamentada pela Administração Pública.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3.1.3 Todas as despesas inerentes ao processo de logística, transporte, descarga e demais encargos necessários à efetiva entrega do objeto contratado correrão integralmente por conta do fornecedor registrado, não cabendo qualquer ônus adicional à Administração.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3.1.4 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3.1.5 </w:t>
      </w:r>
      <w:r>
        <w:rPr>
          <w:rFonts w:hint="default" w:ascii="Arial" w:hAnsi="Arial" w:cs="Arial"/>
          <w:bCs/>
          <w:iCs/>
          <w:u w:val="single"/>
          <w:lang w:val="pt-BR"/>
        </w:rPr>
        <w:t xml:space="preserve">Os bens deverão ser entregues no </w:t>
      </w:r>
      <w:r>
        <w:rPr>
          <w:rFonts w:hint="default" w:ascii="Arial" w:hAnsi="Arial" w:cs="Arial"/>
          <w:b/>
          <w:bCs w:val="0"/>
          <w:iCs/>
          <w:u w:val="single"/>
          <w:lang w:val="pt-BR"/>
        </w:rPr>
        <w:t>HOSPITAL MATERNIDADE DR. MÁRIO DUTRA DE CASTRO)</w:t>
      </w:r>
      <w:r>
        <w:rPr>
          <w:rFonts w:hint="default" w:ascii="Arial" w:hAnsi="Arial" w:cs="Arial"/>
          <w:bCs/>
          <w:iCs/>
          <w:u w:val="single"/>
          <w:lang w:val="pt-BR"/>
        </w:rPr>
        <w:t>, de segunda à sexta-feira, exceto feriados, no horário de 08:00h às 16:00h, ou em local previamente estabelecido e sinalizado no momento do envio da nota de empenho</w:t>
      </w:r>
      <w:r>
        <w:rPr>
          <w:rFonts w:hint="default" w:ascii="Arial" w:hAnsi="Arial" w:cs="Arial"/>
          <w:bCs/>
          <w:iCs/>
          <w:lang w:val="pt-BR"/>
        </w:rPr>
        <w:t xml:space="preserve">.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3.1.6 O Os produtos deverão ser entregues com prazo de validade de no mínimo de 12 (doze) meses para o caso de medicamentos com validade plena de mais de 01 (um) ano. Para os medicamentos com validade plena de até 12 (doze) meses, a validade mínima de entrega deve ser igual a 70% (setenta por cento) deste prazo, ou seja, aproximadamente 09 (nove) meses contados da data de entrega do medicamento.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3.1.7 o critério de validade mencionado faz-se necessário em razão do processo para a realização do pedido possuir, via de regra, previsão para 03 (três) meses de consumo, sendo influenciado por fatores diversos, tais como fortuitos sazonais, questões técnicas relacionadas a produção dos laboratórios, logística na entrega, surtos de doenças específicas e alterações generalizadas na demanda.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3.1.8 entrega de produtos com prazo de validade diferente do que foi previsto na cláusula anterior só poderá ocorrer mediante autorização PRÉVIA da Área de Farmácia, mediante a emissão de CARTA DE COMPROMISSO DE TROCA sem qualquer encargo, termo ou condição. </w:t>
      </w:r>
      <w:r>
        <w:rPr>
          <w:rFonts w:hint="default" w:ascii="Arial" w:hAnsi="Arial" w:cs="Arial"/>
          <w:b/>
          <w:bCs w:val="0"/>
          <w:iCs/>
          <w:lang w:val="pt-BR"/>
        </w:rPr>
        <w:t>A eventual presença desses elementos acidentais incluídos unilateralmente pela CONTRATADA no instrumento citado será considerada não escrita pela Administração Pública</w:t>
      </w:r>
      <w:r>
        <w:rPr>
          <w:rFonts w:hint="default" w:ascii="Arial" w:hAnsi="Arial" w:cs="Arial"/>
          <w:bCs/>
          <w:iCs/>
          <w:lang w:val="pt-BR"/>
        </w:rPr>
        <w:t>, podendo a Área de Farmácia, a qualquer tempo, revogar eventual autorização de entrega com prazo de validade diverso, e deflagrar o processo punitivo contra aqueles que descumprirem as regras contratuais originárias e demais ajustes firmados supervenientemente com a Administração.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3.1.9 O entrega de medicamentos deverá ser efetuada em conformidade com a Resolução da Diretoria Colegiada – RDC da Agência Nacional de Vigilância Sanitária - ANVISA nº 44/2009, Art. 4º, Parágrafo único, onde as empresas responsáveis pelas etapas de produção, importação, distribuição, transporte e dispensação são solidariamente responsáveis pela qualidade e segurança dos produtos farmacêuticos objetos de suas atividades especiais.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3.1.10 portanto, fica vedada a entrega de quaisquer medicamentos pelas empresas, através de postagem pelos correios, uma vez os Correios não dispõem de um sistema logístico que garanta a integridade dos medicamentos durante seu transporte, e cabe a empresa a responsabilidade de manutenção das condições de acondicionamento e transporte dos produtos, até o destino final.</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3.1.11 Os medicamentos deverão ser entregues com 01 (uma) bula para cada embalagem primária (blister, bisnaga, frasco, frasco-ampola, strip, envelope e etc.), e preferencialmente em embalagem hospitalar, acompanhados das notas fiscais correspondentes, bem como das respectivas notas de empenho, devidamente preenchidas.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3.1.12 Para os medicamentos cuja apresentação seja comprimidos, cápsulas ou seus consectários, serão aceitos apenas, as propostas de fornecedores que ofertem embalagens blistadas (não multidose), dada a necessidade de viabilização da gestão de fracionamentos de medicamentos da Administração.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3.1.13 Para os medicamentos que possuem a apresentação FRASCO para administração de soluções orais, deverão ser entregues 01 (um) dosador (copo ou colher) para cada frasco, com vistas a promover uma correta utilização pelo usuário final.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3.1.14 Os medicamentos deverão ser transportados, entregues, e acondicionados adequadamente de acordo com as instruções do fabricante e na temperatura exigida para seu transporte, sob pena de devolução dos mesmos pela Área de Farmácia, com a imediata obrigação de substituição por lote diferente do apresentado inicialmente.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3.1.15 Para materiais importados, será necessária a entrega de manual de instruções em português.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
          <w:bCs w:val="0"/>
          <w:iCs/>
          <w:lang w:val="pt-BR"/>
        </w:rPr>
      </w:pPr>
      <w:r>
        <w:rPr>
          <w:rFonts w:hint="default" w:ascii="Arial" w:hAnsi="Arial" w:cs="Arial"/>
          <w:bCs/>
          <w:iCs/>
          <w:lang w:val="pt-BR"/>
        </w:rPr>
        <w:t xml:space="preserve">3.1.16 </w:t>
      </w:r>
      <w:r>
        <w:rPr>
          <w:rFonts w:hint="default" w:ascii="Arial" w:hAnsi="Arial" w:cs="Arial"/>
          <w:b/>
          <w:bCs w:val="0"/>
          <w:iCs/>
          <w:lang w:val="pt-BR"/>
        </w:rPr>
        <w:t>Garantia, manutenção e assistência técnica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3.1.16.1 O prazo de garantia é aquele estabelecido na Lei nº 8.078, de 11 de setembro de 1990 (Código de Defesa do Consumidor).</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 xml:space="preserve">3.2 </w:t>
      </w:r>
      <w:r>
        <w:rPr>
          <w:rFonts w:hint="default" w:ascii="Arial" w:hAnsi="Arial" w:cs="Arial"/>
          <w:bCs/>
          <w:iCs/>
          <w:u w:val="single"/>
          <w:lang w:val="pt-BR"/>
        </w:rPr>
        <w:t>MODELO DE GESTÃO DO CONTRATO (art. 6º, XXIII, alínea “f”, da Lei nº 14.133/21)</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w:t>
      </w:r>
      <w:bookmarkStart w:id="3" w:name="art116"/>
      <w:bookmarkEnd w:id="3"/>
      <w:r>
        <w:rPr>
          <w:rFonts w:hint="default" w:ascii="Arial" w:hAnsi="Arial" w:cs="Arial"/>
          <w:bCs/>
          <w:iCs/>
          <w:lang w:val="pt-BR"/>
        </w:rPr>
        <w:t>.</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3.2.3 As comunicações entre o órgão ou entidade e a contratada devem ser realizadas por escrito sempre que o ato exigir tal formalidade, admitindo-se o uso de mensagem eletrônica para esse fim.</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3.2.4 O órgão ou entidade poderá convocar representante da empresa para adoção de providências que devam ser cumpridas de imediato.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3.2.6 </w:t>
      </w:r>
      <w:r>
        <w:rPr>
          <w:rFonts w:hint="default" w:ascii="Arial" w:hAnsi="Arial" w:cs="Arial"/>
          <w:b/>
          <w:bCs w:val="0"/>
          <w:iCs/>
          <w:lang w:val="pt-BR"/>
        </w:rPr>
        <w:t>FISCALIZAÇÃO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3.2.6.1 A execução do contrato deverá ser acompanhada e fiscalizada pelo(s) fiscal(is) do contrato, ou pelos respectivos substitutos.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
          <w:bCs w:val="0"/>
          <w:iCs/>
          <w:lang w:val="pt-BR"/>
        </w:rPr>
      </w:pPr>
      <w:r>
        <w:rPr>
          <w:rFonts w:hint="default" w:ascii="Arial" w:hAnsi="Arial" w:cs="Arial"/>
          <w:bCs/>
          <w:iCs/>
          <w:lang w:val="pt-BR"/>
        </w:rPr>
        <w:t xml:space="preserve">3.2.7 </w:t>
      </w:r>
      <w:r>
        <w:rPr>
          <w:rFonts w:hint="default" w:ascii="Arial" w:hAnsi="Arial" w:cs="Arial"/>
          <w:b/>
          <w:bCs w:val="0"/>
          <w:iCs/>
          <w:lang w:val="pt-BR"/>
        </w:rPr>
        <w:t>FISCALIZAÇÃO TÉCNICA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3.2.7.1 O fiscal técnico do contrato acompanhará a execução do contrato, para que sejam cumpridas todas as condições estabelecidas no contrato, de modo a assegurar os melhores resultados para a Administração.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3.2.7.2 O fiscal técnico do contrato anotará no histórico de gerenciamento do contrato todas as ocorrências relacionadas à execução do contrato, com a descrição do que for necessário para a regularização das faltas ou dos defeitos observados.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3.2.7.3 Identificada qualquer inexatidão ou irregularidade, o fiscal técnico do contrato emitirá notificações para a correção da execução do contrato, determinando prazo para a correção.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3.2.7.4 O fiscal técnico do contrato informará ao gestor do contato, em tempo hábil, a situação que demandar decisão ou adoção de medidas que ultrapassem sua competência, para que adote as medidas necessárias e saneadoras, se for o caso.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3.2.7.5 No caso de ocorrências que possam inviabilizar a execução do contrato nas datas aprazadas, o fiscal técnico do contrato comunicará o fato imediatamente ao gestor do contrato.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3.2.7.6 O fiscal técnico do contrato comunicará ao gestor do contrato, em tempo hábil, o término do contrato sob sua responsabilidade, com vistas à renovação tempestiva ou à prorrogação contratual.</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3.2.8 </w:t>
      </w:r>
      <w:r>
        <w:rPr>
          <w:rFonts w:hint="default" w:ascii="Arial" w:hAnsi="Arial" w:cs="Arial"/>
          <w:b/>
          <w:bCs w:val="0"/>
          <w:iCs/>
          <w:lang w:val="pt-BR"/>
        </w:rPr>
        <w:t>FISCALIZAÇÃO ADMINISTRATIVA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3.2.8.1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3.2.8.2 Caso ocorra descumprimento das obrigações contratuais, o fiscal administrativo do contrato atuará tempestivamente na solução do problema, reportando ao gestor do contrato para que tome as providências cabíveis, quando ultrapassar a sua competência.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3.2.8.3  Além do disposto acima, a fiscalização contratual obedecerá às seguintes rotinas: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3.2.8.3.1 As Notas Fiscais cujos valores ultrapassem o limite estabelecido no inciso II do artigo 75 da Lei nº 14.133, de 2021, deverão ser devidamente atestadas, pelos fiscais do contrato e protocoladas ao setor de Gerência de Planejamento Orçamentário e Financeiro, da Secretaria de Saúde, no prazo máximo de 5 (cinco) dias úteis.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3.2.8.3.2 As Notas Fiscais </w:t>
      </w:r>
      <w:r>
        <w:rPr>
          <w:rFonts w:hint="default" w:ascii="Arial" w:hAnsi="Arial" w:cs="Arial"/>
          <w:b/>
          <w:bCs w:val="0"/>
          <w:iCs/>
          <w:lang w:val="pt-BR"/>
        </w:rPr>
        <w:t>cujos valores não ultrapassem o limite estabelecido no inciso II do artigo 75 da Lei nº 14.133, de 2021</w:t>
      </w:r>
      <w:r>
        <w:rPr>
          <w:rFonts w:hint="default" w:ascii="Arial" w:hAnsi="Arial" w:cs="Arial"/>
          <w:bCs/>
          <w:iCs/>
          <w:lang w:val="pt-BR"/>
        </w:rPr>
        <w:t>, deverão ser atestadas, pelos fiscais do contrato, e protocoladas ao setor de Gerência de Planejamento Orçamentário e Financeiro no prazo máximo de 2 (dois) dias úteis.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3.2.8.3.3 Os prazos estabelecidos nos itens anteriores deverão incluir o período necessário para o recebimento </w:t>
      </w:r>
      <w:r>
        <w:rPr>
          <w:rFonts w:hint="default" w:ascii="Arial" w:hAnsi="Arial" w:cs="Arial"/>
          <w:b/>
          <w:bCs w:val="0"/>
          <w:iCs/>
          <w:lang w:val="pt-BR"/>
        </w:rPr>
        <w:t>definitivo</w:t>
      </w:r>
      <w:r>
        <w:rPr>
          <w:rFonts w:hint="default" w:ascii="Arial" w:hAnsi="Arial" w:cs="Arial"/>
          <w:bCs/>
          <w:iCs/>
          <w:lang w:val="pt-BR"/>
        </w:rPr>
        <w:t xml:space="preserve"> do objeto contratual, conforme especificado em seção própria no Termo de Referência.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3.2.8.3.4 O </w:t>
      </w:r>
      <w:r>
        <w:rPr>
          <w:rFonts w:hint="default" w:ascii="Arial" w:hAnsi="Arial" w:cs="Arial"/>
          <w:b/>
          <w:bCs w:val="0"/>
          <w:iCs/>
          <w:lang w:val="pt-BR"/>
        </w:rPr>
        <w:t>fiscal administrativo</w:t>
      </w:r>
      <w:r>
        <w:rPr>
          <w:rFonts w:hint="default" w:ascii="Arial" w:hAnsi="Arial" w:cs="Arial"/>
          <w:bCs/>
          <w:iCs/>
          <w:lang w:val="pt-BR"/>
        </w:rPr>
        <w:t xml:space="preserve"> deverá enviar a documentação pertinente ao setor de Gerência de Planejamento Orçamentário e Financeiro para a formalização dos procedimentos de liquidação e pagamento, no valor dimensionado pela fiscalização nos termos do contrato.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3.2.8.4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
          <w:bCs w:val="0"/>
          <w:iCs/>
          <w:lang w:val="pt-BR"/>
        </w:rPr>
      </w:pPr>
      <w:r>
        <w:rPr>
          <w:rFonts w:hint="default" w:ascii="Arial" w:hAnsi="Arial" w:cs="Arial"/>
          <w:bCs/>
          <w:iCs/>
          <w:lang w:val="pt-BR"/>
        </w:rPr>
        <w:t xml:space="preserve">3.2.9 </w:t>
      </w:r>
      <w:r>
        <w:rPr>
          <w:rFonts w:hint="default" w:ascii="Arial" w:hAnsi="Arial" w:cs="Arial"/>
          <w:b/>
          <w:bCs w:val="0"/>
          <w:iCs/>
          <w:lang w:val="pt-BR"/>
        </w:rPr>
        <w:t>GESTOR DO CONTRATO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3.2.9.1 Cabe ao gestor do contrato: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3.2.9.2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3.2.9.3 Acompanhar os registros realizados pelos fiscais do contrato, de todas as ocorrências relacionadas à execução do contrato e as medidas adotadas, informando, se for o caso, à autoridade superior àquelas que ultrapassarem a sua competência.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3.2.9.4 Acompanhar a manutenção das condições de habilitação da contratada, para fins de empenho de despesa e pagamento, e anotará os problemas que obstem o fluxo normal da liquidação e do pagamento da despesa no relatório de riscos eventuais.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3.2.9.5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3.2.9.6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3.2.9.7 Elaborar relatório final com informações sobre a consecução dos objetivos que tenham justificado a contratação e eventuais condutas a serem adotadas para o aprimoramento das atividades da Administração.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bookmarkStart w:id="7" w:name="_GoBack"/>
      <w:bookmarkEnd w:id="7"/>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 xml:space="preserve">6.1 </w:t>
      </w:r>
      <w:r>
        <w:rPr>
          <w:rFonts w:hint="default" w:ascii="Arial" w:hAnsi="Arial" w:cs="Arial"/>
          <w:b/>
          <w:bCs w:val="0"/>
          <w:iCs/>
          <w:color w:val="auto"/>
          <w:lang w:val="en-US" w:eastAsia="pt-BR"/>
        </w:rPr>
        <w:t>LIQUIDAÇÃO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6.1.1 Recebida a Nota Fiscal ou documento de cobrança equivalente, correrá o prazo de 20 (vinte) dias para fins de liquidação, na forma desta seção, prorrogáveis por igual período.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6.1.2 O prazo de que trata o item anterior será reduzido à metade, mantendo-se a possibilidade de prorrogação, no caso de contratações decorrentes de despesas cujos valores não ultrapassem o limite de que trata o inciso II do art. 75 da Lei nº 14.133, de 2021.</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 xml:space="preserve">6.1.3 Para fins de liquidação, o setor competente deverá verificar se a nota fiscal ou instrumento de cobrança equivalente apresentado expressa os elementos necessários e essenciais do documento, tais como: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6.1.3.1 O prazo de validade;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 xml:space="preserve">6.1.3.2 A data da emissão;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6.1.3.3 Os dados do contrato e do órgão contratante;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 xml:space="preserve">6.1.3.4 Dados bancários para pagamento;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 xml:space="preserve">6.1.3.5 O período respectivo de execução do contrato;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 xml:space="preserve">6.1.3.6 O valor a pagar; e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6.1.3.7 Eventual destaque do valor de retenções tributárias cabíveis.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6.1.6 A Administração deverá realizar consulta ao SICAF para: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6.1.6.1 verificar a manutenção das condições de habilitação exigidas;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6.1.6.2 identificar possível razão que impeça a participação em licitação/contratação no âmbito do órgão ou entidade, tais como a proibição de contratar com a Administração ou com o Poder Público, bem como ocorrências impeditivas indiretas.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6.1.9 Persistindo a irregularidade, o Contratante deverá adotar as medidas necessárias à rescisão contratual nos autos do processo administrativo correspondente, assegurada ao Contratado a ampla defesa.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6.1.10 Havendo a efetiva execução do objeto, os pagamentos serão realizados normalmente, até que se decida pela rescisão do contrato, caso o Contratado não regularize sua situação junto ao SICAF.</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 xml:space="preserve">6.2 </w:t>
      </w:r>
      <w:r>
        <w:rPr>
          <w:rFonts w:hint="default" w:ascii="Arial" w:hAnsi="Arial" w:cs="Arial"/>
          <w:b/>
          <w:bCs w:val="0"/>
          <w:iCs/>
          <w:color w:val="auto"/>
          <w:lang w:val="en-US" w:eastAsia="pt-BR"/>
        </w:rPr>
        <w:t>Prazo de pagamento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6.2.1 O pagamento será efetuado no prazo de até 30 (trinta) dias contados do recebimento definitivo (atesto da Nota Fiscal), conforme seção anterior, nos termos do Decreto Municipal nº 2493, de 07 de novembro de 2023.</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 xml:space="preserve">6.3 </w:t>
      </w:r>
      <w:r>
        <w:rPr>
          <w:rFonts w:hint="default" w:ascii="Arial" w:hAnsi="Arial" w:cs="Arial"/>
          <w:b/>
          <w:bCs w:val="0"/>
          <w:iCs/>
          <w:color w:val="auto"/>
          <w:lang w:val="en-US" w:eastAsia="pt-BR"/>
        </w:rPr>
        <w:t>Forma de Pagamento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bookmarkStart w:id="4" w:name="_Hlk200550359"/>
      <w:r>
        <w:rPr>
          <w:rFonts w:hint="default" w:ascii="Arial" w:hAnsi="Arial" w:cs="Arial"/>
          <w:bCs/>
          <w:iCs/>
          <w:color w:val="auto"/>
          <w:lang w:val="en-US" w:eastAsia="pt-BR"/>
        </w:rPr>
        <w:t>6.3.1 O pagamento será realizado por meio de ordem bancária, para crédito em banco, agência e conta corrente indicados pelo Contratado.</w:t>
      </w:r>
    </w:p>
    <w:bookmarkEnd w:id="4"/>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6.3.2 Será considerada data do pagamento o dia em que constar como emitida a ordem bancária para pagamento.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6.3.3 Quando do pagamento, será efetuada a retenção tributária prevista na legislação aplicável.</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6.3.4 Independentemente do percentual de tributo inserido na planilha, quando houver, serão retidos na fonte, quando da realização do pagamento, os percentuais estabelecidos na legislação vigente.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6.3.5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6.3.6 Na hipótese de o documento de cobrança apresentar erros, fica suspenso o prazo para o pagamento respectivo, prosseguindo-se a contagem somente após a apresentação da nova documentação isenta de erros.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6.3.7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 xml:space="preserve">6.4 </w:t>
      </w:r>
      <w:r>
        <w:rPr>
          <w:rFonts w:hint="default" w:ascii="Arial" w:hAnsi="Arial" w:cs="Arial"/>
          <w:b/>
          <w:bCs w:val="0"/>
          <w:iCs/>
          <w:color w:val="auto"/>
          <w:lang w:val="en-US" w:eastAsia="pt-BR"/>
        </w:rPr>
        <w:t>Reajuste</w:t>
      </w:r>
    </w:p>
    <w:p>
      <w:pPr>
        <w:pStyle w:val="45"/>
        <w:numPr>
          <w:ilvl w:val="0"/>
          <w:numId w:val="0"/>
        </w:numPr>
        <w:spacing w:after="0" w:line="360" w:lineRule="auto"/>
        <w:ind w:leftChars="0"/>
        <w:rPr>
          <w:rFonts w:hint="default" w:ascii="Arial" w:hAnsi="Arial" w:eastAsia="Verdana" w:cs="Arial"/>
          <w:bCs/>
          <w:iCs/>
          <w:color w:val="auto"/>
          <w:sz w:val="22"/>
          <w:szCs w:val="22"/>
          <w:lang w:val="en-US" w:eastAsia="pt-BR" w:bidi="ar-SA"/>
        </w:rPr>
      </w:pPr>
      <w:bookmarkStart w:id="5" w:name="_Hlk169693537"/>
      <w:r>
        <w:rPr>
          <w:rFonts w:hint="default" w:ascii="Arial" w:hAnsi="Arial" w:eastAsia="Verdana" w:cs="Arial"/>
          <w:bCs/>
          <w:iCs/>
          <w:color w:val="auto"/>
          <w:sz w:val="22"/>
          <w:szCs w:val="22"/>
          <w:lang w:val="en-US" w:eastAsia="pt-BR" w:bidi="ar-SA"/>
        </w:rPr>
        <w:t>6.4.1 Os preços inicialmente contratados são fixos e irreajustáveis no prazo de um ano contado da data do orçamento estimado, em 08/06/2026 (Oito de junho de dois mil e vinte e seis).</w:t>
      </w:r>
      <w:bookmarkEnd w:id="5"/>
    </w:p>
    <w:p>
      <w:pPr>
        <w:pStyle w:val="45"/>
        <w:numPr>
          <w:ilvl w:val="0"/>
          <w:numId w:val="0"/>
        </w:numPr>
        <w:spacing w:after="0" w:line="360" w:lineRule="auto"/>
        <w:ind w:leftChars="0"/>
        <w:rPr>
          <w:rFonts w:hint="default" w:ascii="Arial" w:hAnsi="Arial" w:eastAsia="Verdana" w:cs="Arial"/>
          <w:bCs/>
          <w:iCs/>
          <w:color w:val="auto"/>
          <w:sz w:val="22"/>
          <w:szCs w:val="22"/>
          <w:lang w:val="en-US" w:eastAsia="pt-BR" w:bidi="ar-SA"/>
        </w:rPr>
      </w:pPr>
      <w:r>
        <w:rPr>
          <w:rFonts w:hint="default" w:ascii="Arial" w:hAnsi="Arial" w:eastAsia="Verdana" w:cs="Arial"/>
          <w:bCs/>
          <w:iCs/>
          <w:color w:val="auto"/>
          <w:sz w:val="22"/>
          <w:szCs w:val="22"/>
          <w:lang w:val="en-US" w:eastAsia="pt-BR" w:bidi="ar-SA"/>
        </w:rPr>
        <w:t xml:space="preserve">6.4.2 Após o interregno de um ano, os preços iniciais dos medicamentos poderão ser reajustados mediante a aplicação dos índices oficiais estabelecidos pela </w:t>
      </w:r>
      <w:r>
        <w:rPr>
          <w:rFonts w:hint="default" w:ascii="Arial" w:hAnsi="Arial" w:eastAsia="Verdana" w:cs="Arial"/>
          <w:b/>
          <w:bCs w:val="0"/>
          <w:iCs/>
          <w:color w:val="auto"/>
          <w:sz w:val="22"/>
          <w:szCs w:val="22"/>
          <w:lang w:val="en-US" w:eastAsia="pt-BR" w:bidi="ar-SA"/>
        </w:rPr>
        <w:t>Câmara de Regulação do Mercado de Medicamentos (CMED),</w:t>
      </w:r>
      <w:r>
        <w:rPr>
          <w:rFonts w:hint="default" w:ascii="Arial" w:hAnsi="Arial" w:eastAsia="Verdana" w:cs="Arial"/>
          <w:bCs/>
          <w:iCs/>
          <w:color w:val="auto"/>
          <w:sz w:val="22"/>
          <w:szCs w:val="22"/>
          <w:lang w:val="en-US" w:eastAsia="pt-BR" w:bidi="ar-SA"/>
        </w:rPr>
        <w:t xml:space="preserve"> exclusivamente para as obrigações iniciadas e concluídas após a ocorrência da anualidade, observadas as seguintes condições: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6.4.3 A concessão do reajuste fica condicionada à expressa solicitação do Contratado, que deverá ser apresentada antes da celebração de qualquer aditivo de prorrogação de vigência contratual, acompanhada da documentação comprobatória das alterações nos preços máximos estabelecidos pela CMED.</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 xml:space="preserve">6.4.4 A ausência de solicitação de reajuste pelo Contratado antes da formalização do aditamento sem a concessão do reajuste, ou ressalva de sua superveniente análise, será considerada como renúncia ou preclusão lógica do direito ao reajuste do período correspondente.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6.4.5 O reajuste aplicado não poderá exceder os limites máximos de preços estabelecidos pela CMED para cada medicamento, conforme regulamentação vigente.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6.4.6 Nos reajustes subsequentes ao primeiro, o interregno mínimo de um ano será contado a partir dos efeitos financeiros do último reajuste.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6.4.7 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6.4.8 Nas aferições finais, o(s) índice(s) utilizado(s) para reajuste será(ão), obrigatoriamente, o(s) definitivo(s).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6.4.9 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6.4.10 Na ausência de previsão legal quanto ao índice substituto, as partes elegerão novo índice oficial, para reajustamento do preço do valor remanescente, por meio de termo aditivo.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en-US" w:eastAsia="pt-BR"/>
        </w:rPr>
      </w:pPr>
      <w:r>
        <w:rPr>
          <w:rFonts w:hint="default" w:ascii="Arial" w:hAnsi="Arial" w:cs="Arial"/>
          <w:bCs/>
          <w:iCs/>
          <w:color w:val="auto"/>
          <w:lang w:val="en-US" w:eastAsia="pt-BR"/>
        </w:rPr>
        <w:t>6.4.11 O reajuste será realizado por apostilamento.</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6" w:name="_Hlk114504069"/>
      <w:r>
        <w:rPr>
          <w:rStyle w:val="9"/>
          <w:rFonts w:ascii="Arial" w:hAnsi="Arial" w:eastAsia="Arial" w:cs="Arial"/>
        </w:rPr>
        <w:t>Lei nº 14.133, de 2021</w:t>
      </w:r>
      <w:bookmarkEnd w:id="6"/>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34"/>
        <w:numPr>
          <w:ilvl w:val="0"/>
          <w:numId w:val="0"/>
        </w:numPr>
        <w:tabs>
          <w:tab w:val="left" w:pos="284"/>
          <w:tab w:val="left" w:pos="993"/>
        </w:tabs>
        <w:spacing w:line="276" w:lineRule="auto"/>
        <w:ind w:leftChars="0"/>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13.1 As despesas decorrentes da presente contratação correrão à conta de recursos específicos consignados no Orçamento do Município, na forma abaixo:</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7"/>
        <w:gridCol w:w="3072"/>
        <w:gridCol w:w="1941"/>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pct"/>
            <w:shd w:val="clear" w:color="auto" w:fill="BEBEBE" w:themeFill="background1" w:themeFillShade="BF"/>
            <w:tcMar>
              <w:lef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eastAsia="Verdana" w:cs="Arial"/>
                <w:b/>
                <w:bCs/>
                <w:sz w:val="22"/>
                <w:szCs w:val="22"/>
                <w:lang w:val="pt-BR" w:eastAsia="en-US" w:bidi="ar-SA"/>
              </w:rPr>
            </w:pPr>
            <w:r>
              <w:rPr>
                <w:rFonts w:hint="default" w:ascii="Arial" w:hAnsi="Arial" w:eastAsia="Verdana" w:cs="Arial"/>
                <w:b/>
                <w:bCs/>
                <w:sz w:val="22"/>
                <w:szCs w:val="22"/>
                <w:lang w:val="pt-BR" w:eastAsia="en-US" w:bidi="ar-SA"/>
              </w:rPr>
              <w:t>ÓRGÃO/UNIDADE</w:t>
            </w:r>
          </w:p>
        </w:tc>
        <w:tc>
          <w:tcPr>
            <w:tcW w:w="1653" w:type="pct"/>
            <w:shd w:val="clear" w:color="auto" w:fill="BEBEBE" w:themeFill="background1" w:themeFillShade="BF"/>
            <w:tcMar>
              <w:lef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eastAsia="Verdana" w:cs="Arial"/>
                <w:b/>
                <w:bCs/>
                <w:sz w:val="22"/>
                <w:szCs w:val="22"/>
                <w:lang w:val="pt-BR" w:eastAsia="en-US" w:bidi="ar-SA"/>
              </w:rPr>
            </w:pPr>
            <w:r>
              <w:rPr>
                <w:rFonts w:hint="default" w:ascii="Arial" w:hAnsi="Arial" w:eastAsia="Verdana" w:cs="Arial"/>
                <w:b/>
                <w:bCs/>
                <w:sz w:val="22"/>
                <w:szCs w:val="22"/>
                <w:lang w:val="pt-BR" w:eastAsia="en-US" w:bidi="ar-SA"/>
              </w:rPr>
              <w:t>PROGRAMA DE TRABALHO</w:t>
            </w:r>
          </w:p>
        </w:tc>
        <w:tc>
          <w:tcPr>
            <w:tcW w:w="1044" w:type="pct"/>
            <w:shd w:val="clear" w:color="auto" w:fill="BEBEBE" w:themeFill="background1" w:themeFillShade="BF"/>
            <w:tcMar>
              <w:lef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eastAsia="Verdana" w:cs="Arial"/>
                <w:b/>
                <w:bCs/>
                <w:sz w:val="22"/>
                <w:szCs w:val="22"/>
                <w:lang w:val="pt-BR" w:eastAsia="en-US" w:bidi="ar-SA"/>
              </w:rPr>
            </w:pPr>
            <w:r>
              <w:rPr>
                <w:rFonts w:hint="default" w:ascii="Arial" w:hAnsi="Arial" w:eastAsia="Verdana" w:cs="Arial"/>
                <w:b/>
                <w:bCs/>
                <w:sz w:val="22"/>
                <w:szCs w:val="22"/>
                <w:lang w:val="pt-BR" w:eastAsia="en-US" w:bidi="ar-SA"/>
              </w:rPr>
              <w:t>FONTE DE RECURSOS</w:t>
            </w:r>
          </w:p>
        </w:tc>
        <w:tc>
          <w:tcPr>
            <w:tcW w:w="952" w:type="pct"/>
            <w:shd w:val="clear" w:color="auto" w:fill="BEBEBE" w:themeFill="background1" w:themeFillShade="BF"/>
            <w:tcMar>
              <w:lef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eastAsia="Verdana" w:cs="Arial"/>
                <w:b/>
                <w:bCs/>
                <w:sz w:val="22"/>
                <w:szCs w:val="22"/>
                <w:lang w:val="pt-BR" w:eastAsia="en-US" w:bidi="ar-SA"/>
              </w:rPr>
            </w:pPr>
            <w:r>
              <w:rPr>
                <w:rFonts w:hint="default" w:ascii="Arial" w:hAnsi="Arial" w:eastAsia="Verdana" w:cs="Arial"/>
                <w:b/>
                <w:bCs/>
                <w:sz w:val="22"/>
                <w:szCs w:val="22"/>
                <w:lang w:val="pt-BR" w:eastAsia="en-US" w:bidi="ar-SA"/>
              </w:rPr>
              <w:t>ELEMENTO DE DESPESA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pct"/>
            <w:shd w:val="clear" w:color="auto" w:fill="auto"/>
            <w:tcMar>
              <w:lef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HOSPITAL MATERNIDADE DR.MÁRIO DUTRA DE CASTRO</w:t>
            </w:r>
          </w:p>
        </w:tc>
        <w:tc>
          <w:tcPr>
            <w:tcW w:w="1653" w:type="pct"/>
            <w:shd w:val="clear" w:color="auto" w:fill="auto"/>
            <w:tcMar>
              <w:lef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36001.10.302.1004.2.142</w:t>
            </w:r>
          </w:p>
        </w:tc>
        <w:tc>
          <w:tcPr>
            <w:tcW w:w="1044" w:type="pct"/>
            <w:shd w:val="clear" w:color="auto" w:fill="auto"/>
            <w:tcMar>
              <w:lef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1600</w:t>
            </w:r>
          </w:p>
        </w:tc>
        <w:tc>
          <w:tcPr>
            <w:tcW w:w="952" w:type="pct"/>
            <w:shd w:val="clear" w:color="auto" w:fill="auto"/>
            <w:tcMar>
              <w:lef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3.3.90.30.09</w:t>
            </w:r>
          </w:p>
        </w:tc>
      </w:tr>
    </w:tbl>
    <w:p>
      <w:pPr>
        <w:pStyle w:val="34"/>
        <w:numPr>
          <w:ilvl w:val="0"/>
          <w:numId w:val="0"/>
        </w:numPr>
        <w:tabs>
          <w:tab w:val="left" w:pos="284"/>
          <w:tab w:val="left" w:pos="993"/>
        </w:tabs>
        <w:spacing w:line="276" w:lineRule="auto"/>
        <w:ind w:leftChars="0"/>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 xml:space="preserve">13.2 A dotação relativa aos exercícios financeiros subsequentes será indicada após aprovação da Lei Orçamentária respectiva e liberação dos créditos correspondentes, mediante apostilamento.      </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0"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112C"/>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24D26B4"/>
    <w:rsid w:val="03E47810"/>
    <w:rsid w:val="04860AA5"/>
    <w:rsid w:val="07573403"/>
    <w:rsid w:val="078C5456"/>
    <w:rsid w:val="079C2BCD"/>
    <w:rsid w:val="11CC2ACE"/>
    <w:rsid w:val="14415501"/>
    <w:rsid w:val="1AF72D93"/>
    <w:rsid w:val="1FD12E07"/>
    <w:rsid w:val="20382932"/>
    <w:rsid w:val="2B391E8B"/>
    <w:rsid w:val="2C957A1A"/>
    <w:rsid w:val="2E2E5015"/>
    <w:rsid w:val="346A38B4"/>
    <w:rsid w:val="3B3F50C7"/>
    <w:rsid w:val="3C4D19A5"/>
    <w:rsid w:val="3C9967A2"/>
    <w:rsid w:val="3D361311"/>
    <w:rsid w:val="4FB83415"/>
    <w:rsid w:val="501F24D5"/>
    <w:rsid w:val="51926504"/>
    <w:rsid w:val="52FC000C"/>
    <w:rsid w:val="56407D05"/>
    <w:rsid w:val="5C237373"/>
    <w:rsid w:val="60FD1B17"/>
    <w:rsid w:val="623C6820"/>
    <w:rsid w:val="624F44B8"/>
    <w:rsid w:val="655965EF"/>
    <w:rsid w:val="68532C20"/>
    <w:rsid w:val="69A41772"/>
    <w:rsid w:val="6C1916EC"/>
    <w:rsid w:val="6EE34F7C"/>
    <w:rsid w:val="749B1192"/>
    <w:rsid w:val="77B2358A"/>
    <w:rsid w:val="7A5D3EA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1</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2026-06-26T17:14:50Z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